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751A1" w14:textId="77777777" w:rsidR="008604A4" w:rsidRPr="001D7CB8" w:rsidRDefault="008604A4" w:rsidP="0082112E">
      <w:pPr>
        <w:pStyle w:val="Golobesedilo"/>
        <w:spacing w:before="240" w:line="276" w:lineRule="auto"/>
        <w:ind w:left="-993"/>
        <w:jc w:val="both"/>
        <w:rPr>
          <w:rFonts w:asciiTheme="minorHAnsi" w:hAnsiTheme="minorHAnsi" w:cstheme="minorHAnsi"/>
          <w:b/>
          <w:sz w:val="24"/>
          <w:szCs w:val="24"/>
          <w:lang w:val="en-GB"/>
        </w:rPr>
      </w:pPr>
    </w:p>
    <w:p w14:paraId="7C8751A5" w14:textId="75C3C1E0" w:rsidR="005D6957" w:rsidRPr="001D7CB8" w:rsidRDefault="00AC35E0" w:rsidP="00B35ED4">
      <w:pPr>
        <w:pStyle w:val="Golobesedilo"/>
        <w:spacing w:before="240" w:line="276" w:lineRule="auto"/>
        <w:ind w:left="-993"/>
        <w:jc w:val="center"/>
        <w:rPr>
          <w:rFonts w:asciiTheme="minorHAnsi" w:hAnsiTheme="minorHAnsi" w:cstheme="minorHAnsi"/>
          <w:b/>
          <w:sz w:val="24"/>
          <w:szCs w:val="24"/>
          <w:lang w:val="en-GB"/>
        </w:rPr>
      </w:pPr>
      <w:r w:rsidRPr="001D7CB8">
        <w:rPr>
          <w:rFonts w:asciiTheme="minorHAnsi" w:hAnsiTheme="minorHAnsi" w:cstheme="minorHAnsi"/>
          <w:b/>
          <w:sz w:val="24"/>
          <w:szCs w:val="24"/>
          <w:lang w:val="en-GB"/>
          <w14:shadow w14:blurRad="50800" w14:dist="38100" w14:dir="0" w14:sx="100000" w14:sy="100000" w14:kx="0" w14:ky="0" w14:algn="l">
            <w14:srgbClr w14:val="000000">
              <w14:alpha w14:val="60000"/>
            </w14:srgbClr>
          </w14:shadow>
          <w14:textOutline w14:w="9525" w14:cap="rnd" w14:cmpd="sng" w14:algn="ctr">
            <w14:solidFill>
              <w14:srgbClr w14:val="000000"/>
            </w14:solidFill>
            <w14:prstDash w14:val="solid"/>
            <w14:bevel/>
          </w14:textOutline>
        </w:rPr>
        <w:t>PUBLIC ENGAGAEMENT AND POPLUAR SCIENCE WRITING</w:t>
      </w:r>
    </w:p>
    <w:p w14:paraId="0370632A" w14:textId="77777777" w:rsidR="00B35ED4" w:rsidRPr="001D7CB8" w:rsidRDefault="00B35ED4" w:rsidP="00B35ED4">
      <w:pPr>
        <w:pStyle w:val="Golobesedilo"/>
        <w:spacing w:before="240"/>
        <w:ind w:left="-993"/>
        <w:jc w:val="both"/>
        <w:rPr>
          <w:rFonts w:asciiTheme="minorHAnsi" w:hAnsiTheme="minorHAnsi" w:cstheme="minorHAnsi"/>
          <w:sz w:val="24"/>
          <w:szCs w:val="24"/>
          <w:lang w:val="en-GB"/>
        </w:rPr>
      </w:pPr>
      <w:r w:rsidRPr="001D7CB8">
        <w:rPr>
          <w:rFonts w:asciiTheme="minorHAnsi" w:hAnsiTheme="minorHAnsi" w:cstheme="minorHAnsi"/>
          <w:sz w:val="24"/>
          <w:szCs w:val="24"/>
          <w:lang w:val="en-GB"/>
        </w:rPr>
        <w:t>Dear Madame / Sir,</w:t>
      </w:r>
    </w:p>
    <w:p w14:paraId="0F2CC20C" w14:textId="25CDE27A" w:rsidR="00B35ED4" w:rsidRPr="001D7CB8" w:rsidRDefault="00B35ED4" w:rsidP="00B35ED4">
      <w:pPr>
        <w:pStyle w:val="Golobesedilo"/>
        <w:spacing w:before="240"/>
        <w:ind w:left="-993"/>
        <w:jc w:val="both"/>
        <w:rPr>
          <w:rFonts w:asciiTheme="minorHAnsi" w:hAnsiTheme="minorHAnsi" w:cstheme="minorHAnsi"/>
          <w:sz w:val="24"/>
          <w:szCs w:val="24"/>
          <w:lang w:val="en-GB"/>
        </w:rPr>
      </w:pPr>
      <w:r w:rsidRPr="001D7CB8">
        <w:rPr>
          <w:rFonts w:asciiTheme="minorHAnsi" w:hAnsiTheme="minorHAnsi" w:cstheme="minorHAnsi"/>
          <w:sz w:val="24"/>
          <w:szCs w:val="24"/>
          <w:lang w:val="en-GB"/>
        </w:rPr>
        <w:t xml:space="preserve">We kindly invite you to attend a workshop in public engagement and popular science writing. The aim of the workshop is to help University teachers, researchers and PR offices and research support staff develop their skills in writing about their research for non-specialist audiences and design effective public engagement activities. The workshop will take place on Thursday, </w:t>
      </w:r>
      <w:r w:rsidRPr="001D7CB8">
        <w:rPr>
          <w:rFonts w:asciiTheme="minorHAnsi" w:hAnsiTheme="minorHAnsi" w:cstheme="minorHAnsi"/>
          <w:b/>
          <w:sz w:val="24"/>
          <w:szCs w:val="24"/>
          <w:lang w:val="en-GB"/>
        </w:rPr>
        <w:t>November 8th, 2018</w:t>
      </w:r>
      <w:r w:rsidRPr="001D7CB8">
        <w:rPr>
          <w:rFonts w:asciiTheme="minorHAnsi" w:hAnsiTheme="minorHAnsi" w:cstheme="minorHAnsi"/>
          <w:sz w:val="24"/>
          <w:szCs w:val="24"/>
          <w:lang w:val="en-GB"/>
        </w:rPr>
        <w:t xml:space="preserve">. Place and conference room will be confirmed to all registered participants at least one week before the workshop. The workshop will be conducted in English by Dr Jon Copley of SciConnect Ltd. Find out more about the programme below. </w:t>
      </w:r>
    </w:p>
    <w:p w14:paraId="4BDF9EF0" w14:textId="77777777" w:rsidR="00B35ED4" w:rsidRPr="001D7CB8" w:rsidRDefault="00B35ED4" w:rsidP="00B35ED4">
      <w:pPr>
        <w:pStyle w:val="Golobesedilo"/>
        <w:spacing w:before="240"/>
        <w:ind w:left="-993"/>
        <w:jc w:val="both"/>
        <w:rPr>
          <w:rFonts w:asciiTheme="minorHAnsi" w:hAnsiTheme="minorHAnsi" w:cstheme="minorHAnsi"/>
          <w:b/>
          <w:sz w:val="24"/>
          <w:szCs w:val="24"/>
          <w:lang w:val="en-GB"/>
        </w:rPr>
      </w:pPr>
      <w:r w:rsidRPr="001D7CB8">
        <w:rPr>
          <w:rFonts w:asciiTheme="minorHAnsi" w:hAnsiTheme="minorHAnsi" w:cstheme="minorHAnsi"/>
          <w:b/>
          <w:sz w:val="24"/>
          <w:szCs w:val="24"/>
          <w:lang w:val="en-GB"/>
        </w:rPr>
        <w:t>WORKSHOP OUTLINE</w:t>
      </w:r>
    </w:p>
    <w:p w14:paraId="6A636507" w14:textId="47B5D06F" w:rsidR="00C0787D" w:rsidRPr="001D7CB8" w:rsidRDefault="00B35ED4" w:rsidP="00C0787D">
      <w:pPr>
        <w:pStyle w:val="Golobesedilo"/>
        <w:spacing w:before="240"/>
        <w:ind w:left="-993"/>
        <w:jc w:val="both"/>
        <w:rPr>
          <w:rFonts w:asciiTheme="minorHAnsi" w:hAnsiTheme="minorHAnsi" w:cstheme="minorHAnsi"/>
          <w:sz w:val="24"/>
          <w:szCs w:val="24"/>
          <w:lang w:val="en-GB"/>
        </w:rPr>
      </w:pPr>
      <w:r w:rsidRPr="001D7CB8">
        <w:rPr>
          <w:rFonts w:asciiTheme="minorHAnsi" w:hAnsiTheme="minorHAnsi" w:cstheme="minorHAnsi"/>
          <w:sz w:val="24"/>
          <w:szCs w:val="24"/>
          <w:lang w:val="en-GB"/>
        </w:rPr>
        <w:t>1-day Workshop: Public engagement and popular science writing masterclass.</w:t>
      </w:r>
      <w:r w:rsidR="00C0787D" w:rsidRPr="00C0787D">
        <w:rPr>
          <w:rFonts w:asciiTheme="minorHAnsi" w:hAnsiTheme="minorHAnsi" w:cstheme="minorHAnsi"/>
          <w:sz w:val="24"/>
          <w:szCs w:val="24"/>
          <w:lang w:val="en-GB"/>
        </w:rPr>
        <w:t xml:space="preserve"> </w:t>
      </w:r>
      <w:r w:rsidR="00C0787D" w:rsidRPr="001D7CB8">
        <w:rPr>
          <w:rFonts w:asciiTheme="minorHAnsi" w:hAnsiTheme="minorHAnsi" w:cstheme="minorHAnsi"/>
          <w:sz w:val="24"/>
          <w:szCs w:val="24"/>
          <w:lang w:val="en-GB"/>
        </w:rPr>
        <w:t xml:space="preserve">The workshop will start at 9 am and finish at 3 pm. </w:t>
      </w:r>
    </w:p>
    <w:p w14:paraId="460904BA" w14:textId="77777777" w:rsidR="00B35ED4" w:rsidRPr="001D7CB8" w:rsidRDefault="00B35ED4" w:rsidP="00654A3B">
      <w:pPr>
        <w:pStyle w:val="Golobesedilo"/>
        <w:ind w:left="-992"/>
        <w:jc w:val="both"/>
        <w:rPr>
          <w:rFonts w:asciiTheme="minorHAnsi" w:hAnsiTheme="minorHAnsi" w:cstheme="minorHAnsi"/>
          <w:sz w:val="24"/>
          <w:szCs w:val="24"/>
          <w:lang w:val="en-GB"/>
        </w:rPr>
      </w:pPr>
      <w:r w:rsidRPr="001D7CB8">
        <w:rPr>
          <w:rFonts w:asciiTheme="minorHAnsi" w:hAnsiTheme="minorHAnsi" w:cstheme="minorHAnsi"/>
          <w:b/>
          <w:sz w:val="24"/>
          <w:szCs w:val="24"/>
          <w:lang w:val="en-GB"/>
        </w:rPr>
        <w:t>Aim:</w:t>
      </w:r>
      <w:r w:rsidRPr="001D7CB8">
        <w:rPr>
          <w:rFonts w:asciiTheme="minorHAnsi" w:hAnsiTheme="minorHAnsi" w:cstheme="minorHAnsi"/>
          <w:sz w:val="24"/>
          <w:szCs w:val="24"/>
          <w:lang w:val="en-GB"/>
        </w:rPr>
        <w:t xml:space="preserve"> Learn how to plan effective and efficient public engagement activities and develop your skills in writing about your research for non-specialist audiences.</w:t>
      </w:r>
    </w:p>
    <w:p w14:paraId="63071C19" w14:textId="77777777" w:rsidR="00B35ED4" w:rsidRPr="001D7CB8" w:rsidRDefault="00B35ED4" w:rsidP="00654A3B">
      <w:pPr>
        <w:pStyle w:val="Golobesedilo"/>
        <w:ind w:left="-992"/>
        <w:jc w:val="both"/>
        <w:rPr>
          <w:rFonts w:asciiTheme="minorHAnsi" w:hAnsiTheme="minorHAnsi" w:cstheme="minorHAnsi"/>
          <w:sz w:val="24"/>
          <w:szCs w:val="24"/>
          <w:lang w:val="en-GB"/>
        </w:rPr>
      </w:pPr>
      <w:r w:rsidRPr="001D7CB8">
        <w:rPr>
          <w:rFonts w:asciiTheme="minorHAnsi" w:hAnsiTheme="minorHAnsi" w:cstheme="minorHAnsi"/>
          <w:b/>
          <w:sz w:val="24"/>
          <w:szCs w:val="24"/>
          <w:lang w:val="en-GB"/>
        </w:rPr>
        <w:t>Conten</w:t>
      </w:r>
      <w:r w:rsidRPr="001D7CB8">
        <w:rPr>
          <w:rFonts w:asciiTheme="minorHAnsi" w:hAnsiTheme="minorHAnsi" w:cstheme="minorHAnsi"/>
          <w:sz w:val="24"/>
          <w:szCs w:val="24"/>
          <w:lang w:val="en-GB"/>
        </w:rPr>
        <w:t>t: Theory, case studies, group discussion and the opportunity to work on your own public engagement plan and popular science article.</w:t>
      </w:r>
    </w:p>
    <w:p w14:paraId="4FCB2C92" w14:textId="2509FBC2" w:rsidR="00B35ED4" w:rsidRDefault="00B35ED4" w:rsidP="00B35ED4">
      <w:pPr>
        <w:pStyle w:val="Golobesedilo"/>
        <w:spacing w:before="240"/>
        <w:ind w:left="-993"/>
        <w:jc w:val="both"/>
        <w:rPr>
          <w:rFonts w:asciiTheme="minorHAnsi" w:hAnsiTheme="minorHAnsi" w:cstheme="minorHAnsi"/>
          <w:b/>
          <w:sz w:val="24"/>
          <w:szCs w:val="24"/>
          <w:lang w:val="en-GB"/>
        </w:rPr>
      </w:pPr>
      <w:r w:rsidRPr="001D7CB8">
        <w:rPr>
          <w:rFonts w:asciiTheme="minorHAnsi" w:hAnsiTheme="minorHAnsi" w:cstheme="minorHAnsi"/>
          <w:b/>
          <w:sz w:val="24"/>
          <w:szCs w:val="24"/>
          <w:lang w:val="en-GB"/>
        </w:rPr>
        <w:t>T</w:t>
      </w:r>
      <w:r w:rsidR="00654A3B">
        <w:rPr>
          <w:rFonts w:asciiTheme="minorHAnsi" w:hAnsiTheme="minorHAnsi" w:cstheme="minorHAnsi"/>
          <w:b/>
          <w:sz w:val="24"/>
          <w:szCs w:val="24"/>
          <w:lang w:val="en-GB"/>
        </w:rPr>
        <w:t>OPICS COVERED INCLUDE</w:t>
      </w:r>
      <w:r w:rsidRPr="001D7CB8">
        <w:rPr>
          <w:rFonts w:asciiTheme="minorHAnsi" w:hAnsiTheme="minorHAnsi" w:cstheme="minorHAnsi"/>
          <w:b/>
          <w:sz w:val="24"/>
          <w:szCs w:val="24"/>
          <w:lang w:val="en-GB"/>
        </w:rPr>
        <w:t>:</w:t>
      </w:r>
    </w:p>
    <w:p w14:paraId="1AF34A2F" w14:textId="7A022DE2" w:rsidR="00B35ED4" w:rsidRDefault="00B35ED4" w:rsidP="00BC3FAF">
      <w:pPr>
        <w:pStyle w:val="Golobesedilo"/>
        <w:ind w:left="-992"/>
        <w:jc w:val="both"/>
        <w:rPr>
          <w:rFonts w:asciiTheme="minorHAnsi" w:hAnsiTheme="minorHAnsi" w:cstheme="minorHAnsi"/>
          <w:sz w:val="24"/>
          <w:szCs w:val="24"/>
          <w:lang w:val="en-GB"/>
        </w:rPr>
      </w:pPr>
      <w:r w:rsidRPr="001D7CB8">
        <w:rPr>
          <w:rFonts w:asciiTheme="minorHAnsi" w:hAnsiTheme="minorHAnsi" w:cstheme="minorHAnsi"/>
          <w:sz w:val="24"/>
          <w:szCs w:val="24"/>
          <w:lang w:val="en-GB"/>
        </w:rPr>
        <w:t>• Grant funding bodies and their expectations about public engagement</w:t>
      </w:r>
    </w:p>
    <w:p w14:paraId="0271BBD4" w14:textId="77777777" w:rsidR="00B35ED4" w:rsidRPr="001D7CB8" w:rsidRDefault="00B35ED4" w:rsidP="00BC3FAF">
      <w:pPr>
        <w:pStyle w:val="Golobesedilo"/>
        <w:ind w:left="-992"/>
        <w:jc w:val="both"/>
        <w:rPr>
          <w:rFonts w:asciiTheme="minorHAnsi" w:hAnsiTheme="minorHAnsi" w:cstheme="minorHAnsi"/>
          <w:sz w:val="24"/>
          <w:szCs w:val="24"/>
          <w:lang w:val="en-GB"/>
        </w:rPr>
      </w:pPr>
      <w:r w:rsidRPr="001D7CB8">
        <w:rPr>
          <w:rFonts w:asciiTheme="minorHAnsi" w:hAnsiTheme="minorHAnsi" w:cstheme="minorHAnsi"/>
          <w:sz w:val="24"/>
          <w:szCs w:val="24"/>
          <w:lang w:val="en-GB"/>
        </w:rPr>
        <w:t>• How to embed public engagement activities throughout the entire course of a research grant</w:t>
      </w:r>
    </w:p>
    <w:p w14:paraId="603F63D1" w14:textId="77777777" w:rsidR="00B35ED4" w:rsidRPr="001D7CB8" w:rsidRDefault="00B35ED4" w:rsidP="00BC3FAF">
      <w:pPr>
        <w:pStyle w:val="Golobesedilo"/>
        <w:ind w:left="-992"/>
        <w:jc w:val="both"/>
        <w:rPr>
          <w:rFonts w:asciiTheme="minorHAnsi" w:hAnsiTheme="minorHAnsi" w:cstheme="minorHAnsi"/>
          <w:sz w:val="24"/>
          <w:szCs w:val="24"/>
          <w:lang w:val="en-GB"/>
        </w:rPr>
      </w:pPr>
      <w:r w:rsidRPr="001D7CB8">
        <w:rPr>
          <w:rFonts w:asciiTheme="minorHAnsi" w:hAnsiTheme="minorHAnsi" w:cstheme="minorHAnsi"/>
          <w:sz w:val="24"/>
          <w:szCs w:val="24"/>
          <w:lang w:val="en-GB"/>
        </w:rPr>
        <w:t>• Designing targeted activities that are an efficient use of time and resources</w:t>
      </w:r>
    </w:p>
    <w:p w14:paraId="7AE544C8" w14:textId="77777777" w:rsidR="00B35ED4" w:rsidRPr="001D7CB8" w:rsidRDefault="00B35ED4" w:rsidP="00BC3FAF">
      <w:pPr>
        <w:pStyle w:val="Golobesedilo"/>
        <w:ind w:left="-992"/>
        <w:jc w:val="both"/>
        <w:rPr>
          <w:rFonts w:asciiTheme="minorHAnsi" w:hAnsiTheme="minorHAnsi" w:cstheme="minorHAnsi"/>
          <w:sz w:val="24"/>
          <w:szCs w:val="24"/>
          <w:lang w:val="en-GB"/>
        </w:rPr>
      </w:pPr>
      <w:r w:rsidRPr="001D7CB8">
        <w:rPr>
          <w:rFonts w:asciiTheme="minorHAnsi" w:hAnsiTheme="minorHAnsi" w:cstheme="minorHAnsi"/>
          <w:sz w:val="24"/>
          <w:szCs w:val="24"/>
          <w:lang w:val="en-GB"/>
        </w:rPr>
        <w:t>• Key steps in planning, delivering and evaluating engagement</w:t>
      </w:r>
    </w:p>
    <w:p w14:paraId="488CA72A" w14:textId="77777777" w:rsidR="00B35ED4" w:rsidRPr="001D7CB8" w:rsidRDefault="00B35ED4" w:rsidP="00BC3FAF">
      <w:pPr>
        <w:pStyle w:val="Golobesedilo"/>
        <w:ind w:left="-992"/>
        <w:jc w:val="both"/>
        <w:rPr>
          <w:rFonts w:asciiTheme="minorHAnsi" w:hAnsiTheme="minorHAnsi" w:cstheme="minorHAnsi"/>
          <w:sz w:val="24"/>
          <w:szCs w:val="24"/>
          <w:lang w:val="en-GB"/>
        </w:rPr>
      </w:pPr>
      <w:r w:rsidRPr="001D7CB8">
        <w:rPr>
          <w:rFonts w:asciiTheme="minorHAnsi" w:hAnsiTheme="minorHAnsi" w:cstheme="minorHAnsi"/>
          <w:sz w:val="24"/>
          <w:szCs w:val="24"/>
          <w:lang w:val="en-GB"/>
        </w:rPr>
        <w:t>• Popular science writing as a means of public engagement: opportunities and platforms</w:t>
      </w:r>
    </w:p>
    <w:p w14:paraId="56F5CF7F" w14:textId="77777777" w:rsidR="00B35ED4" w:rsidRPr="001D7CB8" w:rsidRDefault="00B35ED4" w:rsidP="00BC3FAF">
      <w:pPr>
        <w:pStyle w:val="Golobesedilo"/>
        <w:ind w:left="-992"/>
        <w:jc w:val="both"/>
        <w:rPr>
          <w:rFonts w:asciiTheme="minorHAnsi" w:hAnsiTheme="minorHAnsi" w:cstheme="minorHAnsi"/>
          <w:sz w:val="24"/>
          <w:szCs w:val="24"/>
          <w:lang w:val="en-GB"/>
        </w:rPr>
      </w:pPr>
      <w:r w:rsidRPr="001D7CB8">
        <w:rPr>
          <w:rFonts w:asciiTheme="minorHAnsi" w:hAnsiTheme="minorHAnsi" w:cstheme="minorHAnsi"/>
          <w:sz w:val="24"/>
          <w:szCs w:val="24"/>
          <w:lang w:val="en-GB"/>
        </w:rPr>
        <w:t>• Structuring your writing to make complex information accessible to non-specialists</w:t>
      </w:r>
    </w:p>
    <w:p w14:paraId="2F2621CA" w14:textId="77777777" w:rsidR="00B35ED4" w:rsidRPr="001D7CB8" w:rsidRDefault="00B35ED4" w:rsidP="00BC3FAF">
      <w:pPr>
        <w:pStyle w:val="Golobesedilo"/>
        <w:ind w:left="-992"/>
        <w:jc w:val="both"/>
        <w:rPr>
          <w:rFonts w:asciiTheme="minorHAnsi" w:hAnsiTheme="minorHAnsi" w:cstheme="minorHAnsi"/>
          <w:sz w:val="24"/>
          <w:szCs w:val="24"/>
          <w:lang w:val="en-GB"/>
        </w:rPr>
      </w:pPr>
      <w:r w:rsidRPr="001D7CB8">
        <w:rPr>
          <w:rFonts w:asciiTheme="minorHAnsi" w:hAnsiTheme="minorHAnsi" w:cstheme="minorHAnsi"/>
          <w:sz w:val="24"/>
          <w:szCs w:val="24"/>
          <w:lang w:val="en-GB"/>
        </w:rPr>
        <w:t>• Tips for making your writing both engaging and inspiring</w:t>
      </w:r>
    </w:p>
    <w:p w14:paraId="64EB1660" w14:textId="77777777" w:rsidR="00B35ED4" w:rsidRPr="001D7CB8" w:rsidRDefault="00B35ED4" w:rsidP="00BC3FAF">
      <w:pPr>
        <w:pStyle w:val="Golobesedilo"/>
        <w:ind w:left="-992"/>
        <w:jc w:val="both"/>
        <w:rPr>
          <w:rFonts w:asciiTheme="minorHAnsi" w:hAnsiTheme="minorHAnsi" w:cstheme="minorHAnsi"/>
          <w:sz w:val="24"/>
          <w:szCs w:val="24"/>
          <w:lang w:val="en-GB"/>
        </w:rPr>
      </w:pPr>
      <w:r w:rsidRPr="001D7CB8">
        <w:rPr>
          <w:rFonts w:asciiTheme="minorHAnsi" w:hAnsiTheme="minorHAnsi" w:cstheme="minorHAnsi"/>
          <w:sz w:val="24"/>
          <w:szCs w:val="24"/>
          <w:lang w:val="en-GB"/>
        </w:rPr>
        <w:t>• How to minimize the risk of your research being misunderstood or misreported</w:t>
      </w:r>
    </w:p>
    <w:p w14:paraId="29C65278" w14:textId="77777777" w:rsidR="00B35ED4" w:rsidRPr="001D7CB8" w:rsidRDefault="00B35ED4" w:rsidP="00BC3FAF">
      <w:pPr>
        <w:pStyle w:val="Golobesedilo"/>
        <w:ind w:left="-992"/>
        <w:jc w:val="both"/>
        <w:rPr>
          <w:rFonts w:asciiTheme="minorHAnsi" w:hAnsiTheme="minorHAnsi" w:cstheme="minorHAnsi"/>
          <w:sz w:val="24"/>
          <w:szCs w:val="24"/>
          <w:lang w:val="en-GB"/>
        </w:rPr>
      </w:pPr>
      <w:r w:rsidRPr="001D7CB8">
        <w:rPr>
          <w:rFonts w:asciiTheme="minorHAnsi" w:hAnsiTheme="minorHAnsi" w:cstheme="minorHAnsi"/>
          <w:sz w:val="24"/>
          <w:szCs w:val="24"/>
          <w:lang w:val="en-GB"/>
        </w:rPr>
        <w:t>• Maximising the impact of your popular science writing online</w:t>
      </w:r>
    </w:p>
    <w:p w14:paraId="38568728" w14:textId="77777777" w:rsidR="00B35ED4" w:rsidRPr="001D7CB8" w:rsidRDefault="00B35ED4" w:rsidP="00BC3FAF">
      <w:pPr>
        <w:pStyle w:val="Golobesedilo"/>
        <w:ind w:left="-992"/>
        <w:jc w:val="both"/>
        <w:rPr>
          <w:rFonts w:asciiTheme="minorHAnsi" w:hAnsiTheme="minorHAnsi" w:cstheme="minorHAnsi"/>
          <w:sz w:val="24"/>
          <w:szCs w:val="24"/>
          <w:lang w:val="en-GB"/>
        </w:rPr>
      </w:pPr>
    </w:p>
    <w:p w14:paraId="0C548F13" w14:textId="10B7BDE7" w:rsidR="00B35ED4" w:rsidRPr="001D7CB8" w:rsidRDefault="00C0787D" w:rsidP="00B35ED4">
      <w:pPr>
        <w:pStyle w:val="Golobesedilo"/>
        <w:spacing w:before="240"/>
        <w:ind w:left="-993"/>
        <w:jc w:val="both"/>
        <w:rPr>
          <w:rFonts w:asciiTheme="minorHAnsi" w:hAnsiTheme="minorHAnsi" w:cstheme="minorHAnsi"/>
          <w:sz w:val="24"/>
          <w:szCs w:val="24"/>
          <w:lang w:val="en-GB"/>
        </w:rPr>
      </w:pPr>
      <w:r>
        <w:rPr>
          <w:rFonts w:asciiTheme="minorHAnsi" w:hAnsiTheme="minorHAnsi" w:cstheme="minorHAnsi"/>
          <w:b/>
          <w:sz w:val="24"/>
          <w:szCs w:val="24"/>
          <w:lang w:val="en-GB"/>
        </w:rPr>
        <w:t>PRESENTER</w:t>
      </w:r>
      <w:r w:rsidR="00B35ED4" w:rsidRPr="00BC3FAF">
        <w:rPr>
          <w:rFonts w:asciiTheme="minorHAnsi" w:hAnsiTheme="minorHAnsi" w:cstheme="minorHAnsi"/>
          <w:b/>
          <w:sz w:val="24"/>
          <w:szCs w:val="24"/>
          <w:lang w:val="en-GB"/>
        </w:rPr>
        <w:t>:</w:t>
      </w:r>
      <w:r w:rsidR="00B35ED4" w:rsidRPr="001D7CB8">
        <w:rPr>
          <w:rFonts w:asciiTheme="minorHAnsi" w:hAnsiTheme="minorHAnsi" w:cstheme="minorHAnsi"/>
          <w:sz w:val="24"/>
          <w:szCs w:val="24"/>
          <w:lang w:val="en-GB"/>
        </w:rPr>
        <w:t xml:space="preserve"> Dr Jon Copley, co-director of SciConnect Limited and Associate Professor of Ocean Exploration and Public Engagement at the University of Southampton, UK.</w:t>
      </w:r>
    </w:p>
    <w:p w14:paraId="23018DC4" w14:textId="77777777" w:rsidR="00B35ED4" w:rsidRPr="001D7CB8" w:rsidRDefault="00B35ED4" w:rsidP="00B35ED4">
      <w:pPr>
        <w:pStyle w:val="Golobesedilo"/>
        <w:spacing w:before="240"/>
        <w:ind w:left="-993"/>
        <w:jc w:val="both"/>
        <w:rPr>
          <w:rFonts w:asciiTheme="minorHAnsi" w:hAnsiTheme="minorHAnsi" w:cstheme="minorHAnsi"/>
          <w:sz w:val="24"/>
          <w:szCs w:val="24"/>
          <w:lang w:val="en-GB"/>
        </w:rPr>
      </w:pPr>
      <w:r w:rsidRPr="001D7CB8">
        <w:rPr>
          <w:rFonts w:asciiTheme="minorHAnsi" w:hAnsiTheme="minorHAnsi" w:cstheme="minorHAnsi"/>
          <w:sz w:val="24"/>
          <w:szCs w:val="24"/>
          <w:lang w:val="en-GB"/>
        </w:rPr>
        <w:t>Dr Copley began his career as a marine biologist, before switching fields to work as a science journalist at New Scientist magazine, where he was a reporter and assistant news editor. He returned to academia and has led a number of expeditions to explore deep-sea habitats around the world. He has consistently embedded public engagement in all his research work, and is recognised as a leader in this area in the UK.</w:t>
      </w:r>
    </w:p>
    <w:p w14:paraId="0DA86515" w14:textId="77777777" w:rsidR="00B35ED4" w:rsidRPr="001D7CB8" w:rsidRDefault="00B35ED4" w:rsidP="00B35ED4">
      <w:pPr>
        <w:pStyle w:val="Golobesedilo"/>
        <w:spacing w:before="240"/>
        <w:ind w:left="-993"/>
        <w:jc w:val="both"/>
        <w:rPr>
          <w:rFonts w:asciiTheme="minorHAnsi" w:hAnsiTheme="minorHAnsi" w:cstheme="minorHAnsi"/>
          <w:sz w:val="24"/>
          <w:szCs w:val="24"/>
          <w:lang w:val="en-GB"/>
        </w:rPr>
      </w:pPr>
      <w:r w:rsidRPr="001D7CB8">
        <w:rPr>
          <w:rFonts w:asciiTheme="minorHAnsi" w:hAnsiTheme="minorHAnsi" w:cstheme="minorHAnsi"/>
          <w:sz w:val="24"/>
          <w:szCs w:val="24"/>
          <w:lang w:val="en-GB"/>
        </w:rPr>
        <w:lastRenderedPageBreak/>
        <w:t>As a co-founder and Director of SciConnect Ltd, Dr Copley has provided training in science writing and media skills for scientists at all career levels., including for organisations such as the UK’s Royal Society and the European Molecular Biology Organisation. His awards for science communication and training include a University of Southampton Vice-Chancellor's Award for Postgraduate Training in 2011 and the UK Biosciences Federation Science Communication Award for Established Researchers in 2008.</w:t>
      </w:r>
    </w:p>
    <w:p w14:paraId="103A980B" w14:textId="77777777" w:rsidR="00B35ED4" w:rsidRPr="001D7CB8" w:rsidRDefault="00B35ED4" w:rsidP="00B35ED4">
      <w:pPr>
        <w:pStyle w:val="Golobesedilo"/>
        <w:spacing w:before="240"/>
        <w:ind w:left="-993"/>
        <w:jc w:val="both"/>
        <w:rPr>
          <w:rFonts w:asciiTheme="minorHAnsi" w:hAnsiTheme="minorHAnsi" w:cstheme="minorHAnsi"/>
          <w:sz w:val="24"/>
          <w:szCs w:val="24"/>
          <w:lang w:val="en-GB"/>
        </w:rPr>
      </w:pPr>
      <w:r w:rsidRPr="001D7CB8">
        <w:rPr>
          <w:rFonts w:asciiTheme="minorHAnsi" w:hAnsiTheme="minorHAnsi" w:cstheme="minorHAnsi"/>
          <w:sz w:val="24"/>
          <w:szCs w:val="24"/>
          <w:lang w:val="en-GB"/>
        </w:rPr>
        <w:t>Dr Copley has extensive personal experience of interacting with the media as a scientist, having given more than 100 media interviews about his research in the past five years, and contributing to documentaries featuring his work for the BBC, including the recent “Blue Planet II” David Attenborough series. He has also published more than 150 articles as a science writer for outlets such as The Guardian and Nature.</w:t>
      </w:r>
    </w:p>
    <w:p w14:paraId="1EAD98E2" w14:textId="77777777" w:rsidR="0082112E" w:rsidRPr="001D7CB8" w:rsidRDefault="0082112E" w:rsidP="0082112E">
      <w:pPr>
        <w:pStyle w:val="Golobesedilo"/>
        <w:spacing w:before="240"/>
        <w:ind w:left="-993"/>
        <w:jc w:val="both"/>
        <w:rPr>
          <w:rFonts w:asciiTheme="minorHAnsi" w:hAnsiTheme="minorHAnsi" w:cstheme="minorHAnsi"/>
          <w:sz w:val="24"/>
          <w:szCs w:val="24"/>
          <w:lang w:val="en-GB"/>
        </w:rPr>
      </w:pPr>
    </w:p>
    <w:p w14:paraId="06605733" w14:textId="77777777" w:rsidR="00654A3B" w:rsidRDefault="00466812" w:rsidP="00654A3B">
      <w:pPr>
        <w:ind w:left="-993"/>
        <w:jc w:val="both"/>
        <w:rPr>
          <w:rFonts w:cstheme="minorHAnsi"/>
          <w:b/>
          <w:bCs/>
          <w:sz w:val="24"/>
          <w:szCs w:val="24"/>
          <w:lang w:val="en-GB"/>
        </w:rPr>
      </w:pPr>
      <w:r>
        <w:rPr>
          <w:rFonts w:cstheme="minorHAnsi"/>
          <w:b/>
          <w:bCs/>
          <w:sz w:val="24"/>
          <w:szCs w:val="24"/>
          <w:lang w:val="en-GB"/>
        </w:rPr>
        <w:t xml:space="preserve">REGISTRATION </w:t>
      </w:r>
    </w:p>
    <w:p w14:paraId="66761678" w14:textId="0192A626" w:rsidR="00466812" w:rsidRPr="00784DCA" w:rsidRDefault="00466812" w:rsidP="00784DCA">
      <w:pPr>
        <w:pStyle w:val="Golobesedilo"/>
        <w:spacing w:before="240"/>
        <w:ind w:left="-993"/>
        <w:jc w:val="both"/>
        <w:rPr>
          <w:rFonts w:asciiTheme="minorHAnsi" w:hAnsiTheme="minorHAnsi" w:cstheme="minorHAnsi"/>
          <w:sz w:val="24"/>
          <w:szCs w:val="24"/>
          <w:lang w:val="en-GB"/>
        </w:rPr>
      </w:pPr>
      <w:r w:rsidRPr="001D7CB8">
        <w:rPr>
          <w:rFonts w:asciiTheme="minorHAnsi" w:hAnsiTheme="minorHAnsi" w:cstheme="minorHAnsi"/>
          <w:sz w:val="24"/>
          <w:szCs w:val="24"/>
          <w:lang w:val="en-GB"/>
        </w:rPr>
        <w:t xml:space="preserve">The number of applications is limited, so if you are interested, please register as soon as possible. Registration to the workshop is possible </w:t>
      </w:r>
      <w:hyperlink r:id="rId11" w:history="1">
        <w:r w:rsidRPr="00215766">
          <w:rPr>
            <w:rStyle w:val="Hiperpovezava"/>
            <w:rFonts w:asciiTheme="minorHAnsi" w:hAnsiTheme="minorHAnsi" w:cstheme="minorHAnsi"/>
            <w:sz w:val="24"/>
            <w:szCs w:val="24"/>
            <w:lang w:val="en-GB"/>
          </w:rPr>
          <w:t>via following link</w:t>
        </w:r>
      </w:hyperlink>
      <w:bookmarkStart w:id="0" w:name="_GoBack"/>
      <w:bookmarkEnd w:id="0"/>
      <w:r w:rsidRPr="001D7CB8">
        <w:rPr>
          <w:rFonts w:asciiTheme="minorHAnsi" w:hAnsiTheme="minorHAnsi" w:cstheme="minorHAnsi"/>
          <w:sz w:val="24"/>
          <w:szCs w:val="24"/>
          <w:lang w:val="en-GB"/>
        </w:rPr>
        <w:t xml:space="preserve"> until</w:t>
      </w:r>
      <w:r>
        <w:rPr>
          <w:rFonts w:asciiTheme="minorHAnsi" w:hAnsiTheme="minorHAnsi" w:cstheme="minorHAnsi"/>
          <w:sz w:val="24"/>
          <w:szCs w:val="24"/>
          <w:lang w:val="en-GB"/>
        </w:rPr>
        <w:t xml:space="preserve"> the workshop is</w:t>
      </w:r>
      <w:r w:rsidRPr="001D7CB8">
        <w:rPr>
          <w:rFonts w:asciiTheme="minorHAnsi" w:hAnsiTheme="minorHAnsi" w:cstheme="minorHAnsi"/>
          <w:sz w:val="24"/>
          <w:szCs w:val="24"/>
          <w:lang w:val="en-GB"/>
        </w:rPr>
        <w:t xml:space="preserve"> fully booked or latest by Oct 24th, 2018. We will send you a confirmation of the successful registration by e-mail. If your application to the workshop is confirmed, participation is mandatory.</w:t>
      </w:r>
    </w:p>
    <w:p w14:paraId="71C07C5C" w14:textId="5B99F418" w:rsidR="00466812" w:rsidRDefault="001058F9" w:rsidP="00784DCA">
      <w:pPr>
        <w:pStyle w:val="Golobesedilo"/>
        <w:spacing w:before="240"/>
        <w:ind w:left="-993"/>
        <w:jc w:val="both"/>
        <w:rPr>
          <w:lang w:val="en-GB"/>
        </w:rPr>
      </w:pPr>
      <w:r w:rsidRPr="00784DCA">
        <w:rPr>
          <w:rFonts w:asciiTheme="minorHAnsi" w:hAnsiTheme="minorHAnsi" w:cstheme="minorHAnsi"/>
          <w:sz w:val="24"/>
          <w:szCs w:val="24"/>
          <w:lang w:val="en-GB"/>
        </w:rPr>
        <w:t>For additional information please contact</w:t>
      </w:r>
      <w:r w:rsidR="00466812" w:rsidRPr="001D7CB8">
        <w:rPr>
          <w:rFonts w:asciiTheme="minorHAnsi" w:hAnsiTheme="minorHAnsi" w:cstheme="minorHAnsi"/>
          <w:sz w:val="24"/>
          <w:szCs w:val="24"/>
          <w:lang w:val="en-GB"/>
        </w:rPr>
        <w:t xml:space="preserve">:  </w:t>
      </w:r>
      <w:hyperlink r:id="rId12" w:history="1">
        <w:r w:rsidR="00F92774" w:rsidRPr="006D7CAC">
          <w:rPr>
            <w:rStyle w:val="Hiperpovezava"/>
            <w:lang w:val="en-GB"/>
          </w:rPr>
          <w:t>kul@uni-lj.si</w:t>
        </w:r>
      </w:hyperlink>
      <w:r w:rsidR="00F92774">
        <w:rPr>
          <w:lang w:val="en-GB"/>
        </w:rPr>
        <w:t xml:space="preserve">. </w:t>
      </w:r>
    </w:p>
    <w:tbl>
      <w:tblPr>
        <w:tblW w:w="0" w:type="auto"/>
        <w:tblInd w:w="-885" w:type="dxa"/>
        <w:tblCellMar>
          <w:left w:w="0" w:type="dxa"/>
          <w:right w:w="0" w:type="dxa"/>
        </w:tblCellMar>
        <w:tblLook w:val="04A0" w:firstRow="1" w:lastRow="0" w:firstColumn="1" w:lastColumn="0" w:noHBand="0" w:noVBand="1"/>
      </w:tblPr>
      <w:tblGrid>
        <w:gridCol w:w="8803"/>
      </w:tblGrid>
      <w:tr w:rsidR="0082112E" w:rsidRPr="001D7CB8" w14:paraId="7C8751BD" w14:textId="77777777" w:rsidTr="001058F9">
        <w:tc>
          <w:tcPr>
            <w:tcW w:w="8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8751BC" w14:textId="5E7B2302" w:rsidR="00B11D48" w:rsidRPr="001D7CB8" w:rsidRDefault="00B11D48" w:rsidP="0082112E">
            <w:pPr>
              <w:pStyle w:val="Navadensplet"/>
              <w:shd w:val="clear" w:color="auto" w:fill="FFFFFF"/>
              <w:spacing w:before="0" w:beforeAutospacing="0" w:after="0" w:afterAutospacing="0" w:line="252" w:lineRule="atLeast"/>
              <w:ind w:left="34"/>
              <w:jc w:val="both"/>
              <w:textAlignment w:val="baseline"/>
              <w:rPr>
                <w:rFonts w:asciiTheme="minorHAnsi" w:hAnsiTheme="minorHAnsi" w:cstheme="minorHAnsi"/>
                <w:lang w:val="en-GB"/>
              </w:rPr>
            </w:pPr>
            <w:r w:rsidRPr="001D7CB8">
              <w:rPr>
                <w:rFonts w:asciiTheme="minorHAnsi" w:hAnsiTheme="minorHAnsi" w:cstheme="minorHAnsi"/>
                <w:lang w:val="en-GB"/>
              </w:rPr>
              <w:t>Prijava poteka preko Sharepoint-a in je aktivirana preko aktivnega imenika vaše članice – za dostopanje uporabite svoje običajno uporabniško ime in geslo (kot npr. za vašo elektronsko pošto). Če se vam ob prijavi pokaže obvestilo »Kritična napaka</w:t>
            </w:r>
            <w:r w:rsidRPr="001D7CB8">
              <w:rPr>
                <w:rStyle w:val="Krepko"/>
                <w:rFonts w:asciiTheme="minorHAnsi" w:hAnsiTheme="minorHAnsi" w:cstheme="minorHAnsi"/>
                <w:bdr w:val="none" w:sz="0" w:space="0" w:color="auto" w:frame="1"/>
                <w:lang w:val="en-GB"/>
              </w:rPr>
              <w:t>«</w:t>
            </w:r>
            <w:r w:rsidRPr="001D7CB8">
              <w:rPr>
                <w:rFonts w:asciiTheme="minorHAnsi" w:hAnsiTheme="minorHAnsi" w:cstheme="minorHAnsi"/>
                <w:lang w:val="en-GB"/>
              </w:rPr>
              <w:t>, vklopite »Združljivostni pogled</w:t>
            </w:r>
            <w:r w:rsidRPr="001D7CB8">
              <w:rPr>
                <w:rStyle w:val="Krepko"/>
                <w:rFonts w:asciiTheme="minorHAnsi" w:hAnsiTheme="minorHAnsi" w:cstheme="minorHAnsi"/>
                <w:bdr w:val="none" w:sz="0" w:space="0" w:color="auto" w:frame="1"/>
                <w:lang w:val="en-GB"/>
              </w:rPr>
              <w:t>«</w:t>
            </w:r>
            <w:r w:rsidRPr="001D7CB8">
              <w:rPr>
                <w:rFonts w:asciiTheme="minorHAnsi" w:hAnsiTheme="minorHAnsi" w:cstheme="minorHAnsi"/>
                <w:lang w:val="en-GB"/>
              </w:rPr>
              <w:t>. To naredite tako, da kliknete »Orodja« -&gt; »Nastavitve združljivostnega pogleda« -&gt; »Dodaj« (s čimer se »uni-lj.si« prestavi v spodnje okno, kjer so dodana spletna mesta za združljivostni pogled).</w:t>
            </w:r>
          </w:p>
        </w:tc>
      </w:tr>
    </w:tbl>
    <w:p w14:paraId="7C8751BE" w14:textId="77777777" w:rsidR="00B11D48" w:rsidRPr="001D7CB8" w:rsidRDefault="00B11D48" w:rsidP="0082112E">
      <w:pPr>
        <w:jc w:val="both"/>
        <w:rPr>
          <w:rFonts w:cstheme="minorHAnsi"/>
          <w:b/>
          <w:bCs/>
          <w:sz w:val="24"/>
          <w:szCs w:val="24"/>
          <w:lang w:val="en-GB"/>
        </w:rPr>
      </w:pPr>
    </w:p>
    <w:p w14:paraId="7C8751C0" w14:textId="77777777" w:rsidR="00293FB1" w:rsidRPr="001D7CB8" w:rsidRDefault="00293FB1" w:rsidP="0082112E">
      <w:pPr>
        <w:ind w:left="-993"/>
        <w:jc w:val="both"/>
        <w:rPr>
          <w:rFonts w:cstheme="minorHAnsi"/>
          <w:sz w:val="24"/>
          <w:szCs w:val="24"/>
          <w:lang w:val="en-GB"/>
        </w:rPr>
      </w:pPr>
    </w:p>
    <w:sectPr w:rsidR="00293FB1" w:rsidRPr="001D7CB8" w:rsidSect="00A661D8">
      <w:headerReference w:type="default" r:id="rId13"/>
      <w:footerReference w:type="default" r:id="rId14"/>
      <w:pgSz w:w="11906" w:h="16838"/>
      <w:pgMar w:top="2083" w:right="1274" w:bottom="1417" w:left="269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751C3" w14:textId="77777777" w:rsidR="00F433DF" w:rsidRDefault="00F433DF" w:rsidP="001F054C">
      <w:pPr>
        <w:spacing w:after="0" w:line="240" w:lineRule="auto"/>
      </w:pPr>
      <w:r>
        <w:separator/>
      </w:r>
    </w:p>
  </w:endnote>
  <w:endnote w:type="continuationSeparator" w:id="0">
    <w:p w14:paraId="7C8751C4" w14:textId="77777777" w:rsidR="00F433DF" w:rsidRDefault="00F433DF" w:rsidP="001F0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51C8" w14:textId="5D5FFB9B" w:rsidR="00C77671" w:rsidRPr="00B12CD3" w:rsidRDefault="00C77671" w:rsidP="005E6EFF">
    <w:pPr>
      <w:pStyle w:val="Noga"/>
      <w:spacing w:line="240" w:lineRule="exact"/>
      <w:ind w:hanging="1276"/>
      <w:rPr>
        <w:rFonts w:ascii="Times" w:hAnsi="Times"/>
        <w:sz w:val="16"/>
        <w:szCs w:val="16"/>
      </w:rPr>
    </w:pPr>
  </w:p>
  <w:p w14:paraId="7C8751C9" w14:textId="77777777" w:rsidR="007A1B9A" w:rsidRPr="00B12CD3" w:rsidRDefault="007A1B9A" w:rsidP="005E6EFF">
    <w:pPr>
      <w:pStyle w:val="Noga"/>
      <w:spacing w:line="240" w:lineRule="exact"/>
      <w:ind w:hanging="1276"/>
      <w:rPr>
        <w:rFonts w:ascii="Times" w:hAnsi="Times"/>
        <w:sz w:val="16"/>
        <w:szCs w:val="16"/>
      </w:rPr>
    </w:pPr>
  </w:p>
  <w:p w14:paraId="7C8751CA" w14:textId="77777777" w:rsidR="00C77671" w:rsidRDefault="00C7767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751C1" w14:textId="77777777" w:rsidR="00F433DF" w:rsidRDefault="00F433DF" w:rsidP="001F054C">
      <w:pPr>
        <w:spacing w:after="0" w:line="240" w:lineRule="auto"/>
      </w:pPr>
      <w:r>
        <w:separator/>
      </w:r>
    </w:p>
  </w:footnote>
  <w:footnote w:type="continuationSeparator" w:id="0">
    <w:p w14:paraId="7C8751C2" w14:textId="77777777" w:rsidR="00F433DF" w:rsidRDefault="00F433DF" w:rsidP="001F0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51C5" w14:textId="77777777" w:rsidR="00C77671" w:rsidRDefault="00DF3707" w:rsidP="005E6EFF">
    <w:pPr>
      <w:pStyle w:val="Glava"/>
      <w:ind w:hanging="1701"/>
    </w:pPr>
    <w:r>
      <w:rPr>
        <w:noProof/>
        <w:lang w:val="en-GB" w:eastAsia="en-GB"/>
      </w:rPr>
      <w:drawing>
        <wp:anchor distT="0" distB="0" distL="114300" distR="114300" simplePos="0" relativeHeight="251659264" behindDoc="0" locked="0" layoutInCell="1" allowOverlap="1" wp14:anchorId="7C8751CB" wp14:editId="7C8751CC">
          <wp:simplePos x="0" y="0"/>
          <wp:positionH relativeFrom="column">
            <wp:posOffset>1447800</wp:posOffset>
          </wp:positionH>
          <wp:positionV relativeFrom="paragraph">
            <wp:posOffset>-160655</wp:posOffset>
          </wp:positionV>
          <wp:extent cx="847725" cy="847725"/>
          <wp:effectExtent l="0" t="0" r="9525" b="9525"/>
          <wp:wrapNone/>
          <wp:docPr id="1" name="Slika 1" descr="Opis: LogotipUL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LogotipUL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751C6" w14:textId="77777777" w:rsidR="00A661D8" w:rsidRDefault="00A661D8" w:rsidP="005E6EFF">
    <w:pPr>
      <w:pStyle w:val="Glava"/>
      <w:ind w:hanging="170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769B"/>
    <w:multiLevelType w:val="hybridMultilevel"/>
    <w:tmpl w:val="5FFCD7F8"/>
    <w:lvl w:ilvl="0" w:tplc="04240001">
      <w:start w:val="1"/>
      <w:numFmt w:val="bullet"/>
      <w:lvlText w:val=""/>
      <w:lvlJc w:val="left"/>
      <w:pPr>
        <w:ind w:left="-219" w:hanging="360"/>
      </w:pPr>
      <w:rPr>
        <w:rFonts w:ascii="Symbol" w:hAnsi="Symbol" w:hint="default"/>
      </w:rPr>
    </w:lvl>
    <w:lvl w:ilvl="1" w:tplc="04240003" w:tentative="1">
      <w:start w:val="1"/>
      <w:numFmt w:val="bullet"/>
      <w:lvlText w:val="o"/>
      <w:lvlJc w:val="left"/>
      <w:pPr>
        <w:ind w:left="501" w:hanging="360"/>
      </w:pPr>
      <w:rPr>
        <w:rFonts w:ascii="Courier New" w:hAnsi="Courier New" w:cs="Courier New" w:hint="default"/>
      </w:rPr>
    </w:lvl>
    <w:lvl w:ilvl="2" w:tplc="04240005" w:tentative="1">
      <w:start w:val="1"/>
      <w:numFmt w:val="bullet"/>
      <w:lvlText w:val=""/>
      <w:lvlJc w:val="left"/>
      <w:pPr>
        <w:ind w:left="1221" w:hanging="360"/>
      </w:pPr>
      <w:rPr>
        <w:rFonts w:ascii="Wingdings" w:hAnsi="Wingdings" w:hint="default"/>
      </w:rPr>
    </w:lvl>
    <w:lvl w:ilvl="3" w:tplc="04240001" w:tentative="1">
      <w:start w:val="1"/>
      <w:numFmt w:val="bullet"/>
      <w:lvlText w:val=""/>
      <w:lvlJc w:val="left"/>
      <w:pPr>
        <w:ind w:left="1941" w:hanging="360"/>
      </w:pPr>
      <w:rPr>
        <w:rFonts w:ascii="Symbol" w:hAnsi="Symbol" w:hint="default"/>
      </w:rPr>
    </w:lvl>
    <w:lvl w:ilvl="4" w:tplc="04240003" w:tentative="1">
      <w:start w:val="1"/>
      <w:numFmt w:val="bullet"/>
      <w:lvlText w:val="o"/>
      <w:lvlJc w:val="left"/>
      <w:pPr>
        <w:ind w:left="2661" w:hanging="360"/>
      </w:pPr>
      <w:rPr>
        <w:rFonts w:ascii="Courier New" w:hAnsi="Courier New" w:cs="Courier New" w:hint="default"/>
      </w:rPr>
    </w:lvl>
    <w:lvl w:ilvl="5" w:tplc="04240005" w:tentative="1">
      <w:start w:val="1"/>
      <w:numFmt w:val="bullet"/>
      <w:lvlText w:val=""/>
      <w:lvlJc w:val="left"/>
      <w:pPr>
        <w:ind w:left="3381" w:hanging="360"/>
      </w:pPr>
      <w:rPr>
        <w:rFonts w:ascii="Wingdings" w:hAnsi="Wingdings" w:hint="default"/>
      </w:rPr>
    </w:lvl>
    <w:lvl w:ilvl="6" w:tplc="04240001" w:tentative="1">
      <w:start w:val="1"/>
      <w:numFmt w:val="bullet"/>
      <w:lvlText w:val=""/>
      <w:lvlJc w:val="left"/>
      <w:pPr>
        <w:ind w:left="4101" w:hanging="360"/>
      </w:pPr>
      <w:rPr>
        <w:rFonts w:ascii="Symbol" w:hAnsi="Symbol" w:hint="default"/>
      </w:rPr>
    </w:lvl>
    <w:lvl w:ilvl="7" w:tplc="04240003" w:tentative="1">
      <w:start w:val="1"/>
      <w:numFmt w:val="bullet"/>
      <w:lvlText w:val="o"/>
      <w:lvlJc w:val="left"/>
      <w:pPr>
        <w:ind w:left="4821" w:hanging="360"/>
      </w:pPr>
      <w:rPr>
        <w:rFonts w:ascii="Courier New" w:hAnsi="Courier New" w:cs="Courier New" w:hint="default"/>
      </w:rPr>
    </w:lvl>
    <w:lvl w:ilvl="8" w:tplc="04240005" w:tentative="1">
      <w:start w:val="1"/>
      <w:numFmt w:val="bullet"/>
      <w:lvlText w:val=""/>
      <w:lvlJc w:val="left"/>
      <w:pPr>
        <w:ind w:left="5541" w:hanging="360"/>
      </w:pPr>
      <w:rPr>
        <w:rFonts w:ascii="Wingdings" w:hAnsi="Wingdings" w:hint="default"/>
      </w:rPr>
    </w:lvl>
  </w:abstractNum>
  <w:abstractNum w:abstractNumId="1" w15:restartNumberingAfterBreak="0">
    <w:nsid w:val="185C36EF"/>
    <w:multiLevelType w:val="hybridMultilevel"/>
    <w:tmpl w:val="5282C2F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25C6565B"/>
    <w:multiLevelType w:val="hybridMultilevel"/>
    <w:tmpl w:val="75884E8A"/>
    <w:lvl w:ilvl="0" w:tplc="04240001">
      <w:start w:val="1"/>
      <w:numFmt w:val="bullet"/>
      <w:lvlText w:val=""/>
      <w:lvlJc w:val="left"/>
      <w:pPr>
        <w:ind w:left="-273" w:hanging="360"/>
      </w:pPr>
      <w:rPr>
        <w:rFonts w:ascii="Symbol" w:hAnsi="Symbol" w:hint="default"/>
      </w:rPr>
    </w:lvl>
    <w:lvl w:ilvl="1" w:tplc="04240003" w:tentative="1">
      <w:start w:val="1"/>
      <w:numFmt w:val="bullet"/>
      <w:lvlText w:val="o"/>
      <w:lvlJc w:val="left"/>
      <w:pPr>
        <w:ind w:left="447" w:hanging="360"/>
      </w:pPr>
      <w:rPr>
        <w:rFonts w:ascii="Courier New" w:hAnsi="Courier New" w:cs="Courier New" w:hint="default"/>
      </w:rPr>
    </w:lvl>
    <w:lvl w:ilvl="2" w:tplc="04240005" w:tentative="1">
      <w:start w:val="1"/>
      <w:numFmt w:val="bullet"/>
      <w:lvlText w:val=""/>
      <w:lvlJc w:val="left"/>
      <w:pPr>
        <w:ind w:left="1167" w:hanging="360"/>
      </w:pPr>
      <w:rPr>
        <w:rFonts w:ascii="Wingdings" w:hAnsi="Wingdings" w:hint="default"/>
      </w:rPr>
    </w:lvl>
    <w:lvl w:ilvl="3" w:tplc="04240001" w:tentative="1">
      <w:start w:val="1"/>
      <w:numFmt w:val="bullet"/>
      <w:lvlText w:val=""/>
      <w:lvlJc w:val="left"/>
      <w:pPr>
        <w:ind w:left="1887" w:hanging="360"/>
      </w:pPr>
      <w:rPr>
        <w:rFonts w:ascii="Symbol" w:hAnsi="Symbol" w:hint="default"/>
      </w:rPr>
    </w:lvl>
    <w:lvl w:ilvl="4" w:tplc="04240003" w:tentative="1">
      <w:start w:val="1"/>
      <w:numFmt w:val="bullet"/>
      <w:lvlText w:val="o"/>
      <w:lvlJc w:val="left"/>
      <w:pPr>
        <w:ind w:left="2607" w:hanging="360"/>
      </w:pPr>
      <w:rPr>
        <w:rFonts w:ascii="Courier New" w:hAnsi="Courier New" w:cs="Courier New" w:hint="default"/>
      </w:rPr>
    </w:lvl>
    <w:lvl w:ilvl="5" w:tplc="04240005" w:tentative="1">
      <w:start w:val="1"/>
      <w:numFmt w:val="bullet"/>
      <w:lvlText w:val=""/>
      <w:lvlJc w:val="left"/>
      <w:pPr>
        <w:ind w:left="3327" w:hanging="360"/>
      </w:pPr>
      <w:rPr>
        <w:rFonts w:ascii="Wingdings" w:hAnsi="Wingdings" w:hint="default"/>
      </w:rPr>
    </w:lvl>
    <w:lvl w:ilvl="6" w:tplc="04240001" w:tentative="1">
      <w:start w:val="1"/>
      <w:numFmt w:val="bullet"/>
      <w:lvlText w:val=""/>
      <w:lvlJc w:val="left"/>
      <w:pPr>
        <w:ind w:left="4047" w:hanging="360"/>
      </w:pPr>
      <w:rPr>
        <w:rFonts w:ascii="Symbol" w:hAnsi="Symbol" w:hint="default"/>
      </w:rPr>
    </w:lvl>
    <w:lvl w:ilvl="7" w:tplc="04240003" w:tentative="1">
      <w:start w:val="1"/>
      <w:numFmt w:val="bullet"/>
      <w:lvlText w:val="o"/>
      <w:lvlJc w:val="left"/>
      <w:pPr>
        <w:ind w:left="4767" w:hanging="360"/>
      </w:pPr>
      <w:rPr>
        <w:rFonts w:ascii="Courier New" w:hAnsi="Courier New" w:cs="Courier New" w:hint="default"/>
      </w:rPr>
    </w:lvl>
    <w:lvl w:ilvl="8" w:tplc="04240005" w:tentative="1">
      <w:start w:val="1"/>
      <w:numFmt w:val="bullet"/>
      <w:lvlText w:val=""/>
      <w:lvlJc w:val="left"/>
      <w:pPr>
        <w:ind w:left="5487" w:hanging="360"/>
      </w:pPr>
      <w:rPr>
        <w:rFonts w:ascii="Wingdings" w:hAnsi="Wingdings" w:hint="default"/>
      </w:rPr>
    </w:lvl>
  </w:abstractNum>
  <w:abstractNum w:abstractNumId="3" w15:restartNumberingAfterBreak="0">
    <w:nsid w:val="25DB0882"/>
    <w:multiLevelType w:val="hybridMultilevel"/>
    <w:tmpl w:val="2A6E4B6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4F582D43"/>
    <w:multiLevelType w:val="hybridMultilevel"/>
    <w:tmpl w:val="8D02EF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4C"/>
    <w:rsid w:val="000111B0"/>
    <w:rsid w:val="00051889"/>
    <w:rsid w:val="00066918"/>
    <w:rsid w:val="000A02B0"/>
    <w:rsid w:val="000A50E1"/>
    <w:rsid w:val="000E207A"/>
    <w:rsid w:val="0010576A"/>
    <w:rsid w:val="001058F9"/>
    <w:rsid w:val="001233B3"/>
    <w:rsid w:val="001726DB"/>
    <w:rsid w:val="00180644"/>
    <w:rsid w:val="00187110"/>
    <w:rsid w:val="001C0C22"/>
    <w:rsid w:val="001C35E1"/>
    <w:rsid w:val="001C4CD1"/>
    <w:rsid w:val="001D7CB8"/>
    <w:rsid w:val="001F054C"/>
    <w:rsid w:val="001F10B7"/>
    <w:rsid w:val="00215766"/>
    <w:rsid w:val="00241D95"/>
    <w:rsid w:val="00243669"/>
    <w:rsid w:val="00257D01"/>
    <w:rsid w:val="002746FA"/>
    <w:rsid w:val="00274DAD"/>
    <w:rsid w:val="00285418"/>
    <w:rsid w:val="00293FB1"/>
    <w:rsid w:val="002B44C3"/>
    <w:rsid w:val="002C77CA"/>
    <w:rsid w:val="00337F0E"/>
    <w:rsid w:val="003B7F1F"/>
    <w:rsid w:val="003C27AF"/>
    <w:rsid w:val="003C7598"/>
    <w:rsid w:val="003E5AA8"/>
    <w:rsid w:val="00400D4A"/>
    <w:rsid w:val="004507D0"/>
    <w:rsid w:val="00466812"/>
    <w:rsid w:val="00481F8A"/>
    <w:rsid w:val="004833E1"/>
    <w:rsid w:val="004E7EAF"/>
    <w:rsid w:val="004F1512"/>
    <w:rsid w:val="004F51DF"/>
    <w:rsid w:val="0052432E"/>
    <w:rsid w:val="00554E63"/>
    <w:rsid w:val="005760D1"/>
    <w:rsid w:val="00584C26"/>
    <w:rsid w:val="00590955"/>
    <w:rsid w:val="005911CD"/>
    <w:rsid w:val="0059171D"/>
    <w:rsid w:val="005D3EC9"/>
    <w:rsid w:val="005D5AF7"/>
    <w:rsid w:val="005D6957"/>
    <w:rsid w:val="005E6EFF"/>
    <w:rsid w:val="005F574B"/>
    <w:rsid w:val="00610409"/>
    <w:rsid w:val="006275C8"/>
    <w:rsid w:val="006455B8"/>
    <w:rsid w:val="00654397"/>
    <w:rsid w:val="00654A3B"/>
    <w:rsid w:val="00657BDF"/>
    <w:rsid w:val="006D0262"/>
    <w:rsid w:val="00705B2B"/>
    <w:rsid w:val="007803BC"/>
    <w:rsid w:val="00782502"/>
    <w:rsid w:val="00784DCA"/>
    <w:rsid w:val="00784F1F"/>
    <w:rsid w:val="007A1B9A"/>
    <w:rsid w:val="007C4640"/>
    <w:rsid w:val="007F56D0"/>
    <w:rsid w:val="0082112E"/>
    <w:rsid w:val="008221EA"/>
    <w:rsid w:val="008604A4"/>
    <w:rsid w:val="00881CE6"/>
    <w:rsid w:val="008A04F0"/>
    <w:rsid w:val="008B4EB4"/>
    <w:rsid w:val="008B7CBC"/>
    <w:rsid w:val="008C500E"/>
    <w:rsid w:val="008C5ACA"/>
    <w:rsid w:val="008D76D9"/>
    <w:rsid w:val="0090107E"/>
    <w:rsid w:val="00902222"/>
    <w:rsid w:val="00932AD8"/>
    <w:rsid w:val="0095419B"/>
    <w:rsid w:val="0095533E"/>
    <w:rsid w:val="009779FA"/>
    <w:rsid w:val="00982870"/>
    <w:rsid w:val="009935C9"/>
    <w:rsid w:val="009D6BAB"/>
    <w:rsid w:val="00A06104"/>
    <w:rsid w:val="00A41A21"/>
    <w:rsid w:val="00A4235E"/>
    <w:rsid w:val="00A661D8"/>
    <w:rsid w:val="00A85F86"/>
    <w:rsid w:val="00AA39C6"/>
    <w:rsid w:val="00AC35E0"/>
    <w:rsid w:val="00AF651B"/>
    <w:rsid w:val="00AF77F6"/>
    <w:rsid w:val="00B0151D"/>
    <w:rsid w:val="00B11D48"/>
    <w:rsid w:val="00B12CD3"/>
    <w:rsid w:val="00B35ED4"/>
    <w:rsid w:val="00B70EC4"/>
    <w:rsid w:val="00B8194A"/>
    <w:rsid w:val="00B91349"/>
    <w:rsid w:val="00BB3566"/>
    <w:rsid w:val="00BC3FAF"/>
    <w:rsid w:val="00BE298C"/>
    <w:rsid w:val="00C01CC6"/>
    <w:rsid w:val="00C0787D"/>
    <w:rsid w:val="00C12F55"/>
    <w:rsid w:val="00C335ED"/>
    <w:rsid w:val="00C33953"/>
    <w:rsid w:val="00C52E14"/>
    <w:rsid w:val="00C77671"/>
    <w:rsid w:val="00C93AE2"/>
    <w:rsid w:val="00C96285"/>
    <w:rsid w:val="00CA41F8"/>
    <w:rsid w:val="00CD3E19"/>
    <w:rsid w:val="00CF4AE7"/>
    <w:rsid w:val="00D05B9E"/>
    <w:rsid w:val="00D10123"/>
    <w:rsid w:val="00D2575F"/>
    <w:rsid w:val="00D33BD5"/>
    <w:rsid w:val="00D40D72"/>
    <w:rsid w:val="00D47F58"/>
    <w:rsid w:val="00D573C1"/>
    <w:rsid w:val="00D67C68"/>
    <w:rsid w:val="00D808A5"/>
    <w:rsid w:val="00DE16A7"/>
    <w:rsid w:val="00DE27DD"/>
    <w:rsid w:val="00DF3707"/>
    <w:rsid w:val="00DF602A"/>
    <w:rsid w:val="00E511BB"/>
    <w:rsid w:val="00E97B67"/>
    <w:rsid w:val="00EB66AD"/>
    <w:rsid w:val="00EC3B7C"/>
    <w:rsid w:val="00EE68B0"/>
    <w:rsid w:val="00EF3FDF"/>
    <w:rsid w:val="00F03983"/>
    <w:rsid w:val="00F30C49"/>
    <w:rsid w:val="00F3770D"/>
    <w:rsid w:val="00F40882"/>
    <w:rsid w:val="00F433DF"/>
    <w:rsid w:val="00F563E4"/>
    <w:rsid w:val="00F92774"/>
    <w:rsid w:val="00FA569D"/>
    <w:rsid w:val="00FB7697"/>
    <w:rsid w:val="00FD6497"/>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C8751A1"/>
  <w15:docId w15:val="{445921FB-FDDE-4D2E-8BC8-417EC64C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298C"/>
  </w:style>
  <w:style w:type="paragraph" w:styleId="Naslov1">
    <w:name w:val="heading 1"/>
    <w:basedOn w:val="Navaden"/>
    <w:link w:val="Naslov1Znak"/>
    <w:uiPriority w:val="9"/>
    <w:qFormat/>
    <w:rsid w:val="00627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4">
    <w:name w:val="heading 4"/>
    <w:basedOn w:val="Navaden"/>
    <w:next w:val="Navaden"/>
    <w:link w:val="Naslov4Znak"/>
    <w:uiPriority w:val="9"/>
    <w:semiHidden/>
    <w:unhideWhenUsed/>
    <w:qFormat/>
    <w:rsid w:val="00B70E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054C"/>
    <w:pPr>
      <w:tabs>
        <w:tab w:val="center" w:pos="4536"/>
        <w:tab w:val="right" w:pos="9072"/>
      </w:tabs>
      <w:spacing w:after="0" w:line="240" w:lineRule="auto"/>
    </w:pPr>
  </w:style>
  <w:style w:type="character" w:customStyle="1" w:styleId="GlavaZnak">
    <w:name w:val="Glava Znak"/>
    <w:basedOn w:val="Privzetapisavaodstavka"/>
    <w:link w:val="Glava"/>
    <w:uiPriority w:val="99"/>
    <w:rsid w:val="001F054C"/>
  </w:style>
  <w:style w:type="paragraph" w:styleId="Noga">
    <w:name w:val="footer"/>
    <w:basedOn w:val="Navaden"/>
    <w:link w:val="NogaZnak"/>
    <w:uiPriority w:val="99"/>
    <w:unhideWhenUsed/>
    <w:rsid w:val="001F054C"/>
    <w:pPr>
      <w:tabs>
        <w:tab w:val="center" w:pos="4536"/>
        <w:tab w:val="right" w:pos="9072"/>
      </w:tabs>
      <w:spacing w:after="0" w:line="240" w:lineRule="auto"/>
    </w:pPr>
  </w:style>
  <w:style w:type="character" w:customStyle="1" w:styleId="NogaZnak">
    <w:name w:val="Noga Znak"/>
    <w:basedOn w:val="Privzetapisavaodstavka"/>
    <w:link w:val="Noga"/>
    <w:uiPriority w:val="99"/>
    <w:rsid w:val="001F054C"/>
  </w:style>
  <w:style w:type="paragraph" w:styleId="Besedilooblaka">
    <w:name w:val="Balloon Text"/>
    <w:basedOn w:val="Navaden"/>
    <w:link w:val="BesedilooblakaZnak"/>
    <w:uiPriority w:val="99"/>
    <w:semiHidden/>
    <w:unhideWhenUsed/>
    <w:rsid w:val="001F054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F054C"/>
    <w:rPr>
      <w:rFonts w:ascii="Tahoma" w:hAnsi="Tahoma" w:cs="Tahoma"/>
      <w:sz w:val="16"/>
      <w:szCs w:val="16"/>
    </w:rPr>
  </w:style>
  <w:style w:type="paragraph" w:styleId="Navadensplet">
    <w:name w:val="Normal (Web)"/>
    <w:basedOn w:val="Navaden"/>
    <w:uiPriority w:val="99"/>
    <w:unhideWhenUsed/>
    <w:rsid w:val="005F574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6275C8"/>
    <w:rPr>
      <w:rFonts w:ascii="Times New Roman" w:eastAsia="Times New Roman" w:hAnsi="Times New Roman" w:cs="Times New Roman"/>
      <w:b/>
      <w:bCs/>
      <w:kern w:val="36"/>
      <w:sz w:val="48"/>
      <w:szCs w:val="48"/>
      <w:lang w:eastAsia="sl-SI"/>
    </w:rPr>
  </w:style>
  <w:style w:type="character" w:styleId="Hiperpovezava">
    <w:name w:val="Hyperlink"/>
    <w:basedOn w:val="Privzetapisavaodstavka"/>
    <w:uiPriority w:val="99"/>
    <w:unhideWhenUsed/>
    <w:rsid w:val="006275C8"/>
    <w:rPr>
      <w:color w:val="0000FF" w:themeColor="hyperlink"/>
      <w:u w:val="single"/>
    </w:rPr>
  </w:style>
  <w:style w:type="character" w:customStyle="1" w:styleId="Naslov4Znak">
    <w:name w:val="Naslov 4 Znak"/>
    <w:basedOn w:val="Privzetapisavaodstavka"/>
    <w:link w:val="Naslov4"/>
    <w:uiPriority w:val="9"/>
    <w:semiHidden/>
    <w:rsid w:val="00B70EC4"/>
    <w:rPr>
      <w:rFonts w:asciiTheme="majorHAnsi" w:eastAsiaTheme="majorEastAsia" w:hAnsiTheme="majorHAnsi" w:cstheme="majorBidi"/>
      <w:b/>
      <w:bCs/>
      <w:i/>
      <w:iCs/>
      <w:color w:val="4F81BD" w:themeColor="accent1"/>
    </w:rPr>
  </w:style>
  <w:style w:type="paragraph" w:styleId="Golobesedilo">
    <w:name w:val="Plain Text"/>
    <w:basedOn w:val="Navaden"/>
    <w:link w:val="GolobesediloZnak"/>
    <w:uiPriority w:val="99"/>
    <w:unhideWhenUsed/>
    <w:rsid w:val="00BE298C"/>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rsid w:val="00BE298C"/>
    <w:rPr>
      <w:rFonts w:ascii="Calibri" w:hAnsi="Calibri"/>
      <w:szCs w:val="21"/>
    </w:rPr>
  </w:style>
  <w:style w:type="paragraph" w:styleId="Odstavekseznama">
    <w:name w:val="List Paragraph"/>
    <w:basedOn w:val="Navaden"/>
    <w:uiPriority w:val="34"/>
    <w:qFormat/>
    <w:rsid w:val="00BE298C"/>
    <w:pPr>
      <w:ind w:left="720"/>
      <w:contextualSpacing/>
    </w:pPr>
  </w:style>
  <w:style w:type="character" w:customStyle="1" w:styleId="apple-converted-space">
    <w:name w:val="apple-converted-space"/>
    <w:basedOn w:val="Privzetapisavaodstavka"/>
    <w:rsid w:val="00B11D48"/>
  </w:style>
  <w:style w:type="character" w:styleId="Krepko">
    <w:name w:val="Strong"/>
    <w:basedOn w:val="Privzetapisavaodstavka"/>
    <w:uiPriority w:val="22"/>
    <w:qFormat/>
    <w:rsid w:val="00B11D48"/>
    <w:rPr>
      <w:b/>
      <w:bCs/>
    </w:rPr>
  </w:style>
  <w:style w:type="character" w:styleId="SledenaHiperpovezava">
    <w:name w:val="FollowedHyperlink"/>
    <w:basedOn w:val="Privzetapisavaodstavka"/>
    <w:uiPriority w:val="99"/>
    <w:semiHidden/>
    <w:unhideWhenUsed/>
    <w:rsid w:val="00584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7308">
      <w:bodyDiv w:val="1"/>
      <w:marLeft w:val="0"/>
      <w:marRight w:val="0"/>
      <w:marTop w:val="0"/>
      <w:marBottom w:val="0"/>
      <w:divBdr>
        <w:top w:val="none" w:sz="0" w:space="0" w:color="auto"/>
        <w:left w:val="none" w:sz="0" w:space="0" w:color="auto"/>
        <w:bottom w:val="none" w:sz="0" w:space="0" w:color="auto"/>
        <w:right w:val="none" w:sz="0" w:space="0" w:color="auto"/>
      </w:divBdr>
    </w:div>
    <w:div w:id="390006742">
      <w:bodyDiv w:val="1"/>
      <w:marLeft w:val="0"/>
      <w:marRight w:val="0"/>
      <w:marTop w:val="0"/>
      <w:marBottom w:val="0"/>
      <w:divBdr>
        <w:top w:val="none" w:sz="0" w:space="0" w:color="auto"/>
        <w:left w:val="none" w:sz="0" w:space="0" w:color="auto"/>
        <w:bottom w:val="none" w:sz="0" w:space="0" w:color="auto"/>
        <w:right w:val="none" w:sz="0" w:space="0" w:color="auto"/>
      </w:divBdr>
    </w:div>
    <w:div w:id="440690873">
      <w:bodyDiv w:val="1"/>
      <w:marLeft w:val="0"/>
      <w:marRight w:val="0"/>
      <w:marTop w:val="0"/>
      <w:marBottom w:val="0"/>
      <w:divBdr>
        <w:top w:val="none" w:sz="0" w:space="0" w:color="auto"/>
        <w:left w:val="none" w:sz="0" w:space="0" w:color="auto"/>
        <w:bottom w:val="none" w:sz="0" w:space="0" w:color="auto"/>
        <w:right w:val="none" w:sz="0" w:space="0" w:color="auto"/>
      </w:divBdr>
    </w:div>
    <w:div w:id="963117991">
      <w:bodyDiv w:val="1"/>
      <w:marLeft w:val="0"/>
      <w:marRight w:val="0"/>
      <w:marTop w:val="0"/>
      <w:marBottom w:val="0"/>
      <w:divBdr>
        <w:top w:val="none" w:sz="0" w:space="0" w:color="auto"/>
        <w:left w:val="none" w:sz="0" w:space="0" w:color="auto"/>
        <w:bottom w:val="none" w:sz="0" w:space="0" w:color="auto"/>
        <w:right w:val="none" w:sz="0" w:space="0" w:color="auto"/>
      </w:divBdr>
    </w:div>
    <w:div w:id="1378238310">
      <w:bodyDiv w:val="1"/>
      <w:marLeft w:val="0"/>
      <w:marRight w:val="0"/>
      <w:marTop w:val="0"/>
      <w:marBottom w:val="0"/>
      <w:divBdr>
        <w:top w:val="none" w:sz="0" w:space="0" w:color="auto"/>
        <w:left w:val="none" w:sz="0" w:space="0" w:color="auto"/>
        <w:bottom w:val="none" w:sz="0" w:space="0" w:color="auto"/>
        <w:right w:val="none" w:sz="0" w:space="0" w:color="auto"/>
      </w:divBdr>
    </w:div>
    <w:div w:id="1396006691">
      <w:bodyDiv w:val="1"/>
      <w:marLeft w:val="0"/>
      <w:marRight w:val="0"/>
      <w:marTop w:val="0"/>
      <w:marBottom w:val="0"/>
      <w:divBdr>
        <w:top w:val="none" w:sz="0" w:space="0" w:color="auto"/>
        <w:left w:val="none" w:sz="0" w:space="0" w:color="auto"/>
        <w:bottom w:val="none" w:sz="0" w:space="0" w:color="auto"/>
        <w:right w:val="none" w:sz="0" w:space="0" w:color="auto"/>
      </w:divBdr>
    </w:div>
    <w:div w:id="1713649545">
      <w:bodyDiv w:val="1"/>
      <w:marLeft w:val="0"/>
      <w:marRight w:val="0"/>
      <w:marTop w:val="0"/>
      <w:marBottom w:val="0"/>
      <w:divBdr>
        <w:top w:val="none" w:sz="0" w:space="0" w:color="auto"/>
        <w:left w:val="none" w:sz="0" w:space="0" w:color="auto"/>
        <w:bottom w:val="none" w:sz="0" w:space="0" w:color="auto"/>
        <w:right w:val="none" w:sz="0" w:space="0" w:color="auto"/>
      </w:divBdr>
    </w:div>
    <w:div w:id="1717243990">
      <w:bodyDiv w:val="1"/>
      <w:marLeft w:val="0"/>
      <w:marRight w:val="0"/>
      <w:marTop w:val="0"/>
      <w:marBottom w:val="0"/>
      <w:divBdr>
        <w:top w:val="none" w:sz="0" w:space="0" w:color="auto"/>
        <w:left w:val="none" w:sz="0" w:space="0" w:color="auto"/>
        <w:bottom w:val="none" w:sz="0" w:space="0" w:color="auto"/>
        <w:right w:val="none" w:sz="0" w:space="0" w:color="auto"/>
      </w:divBdr>
    </w:div>
    <w:div w:id="1872379181">
      <w:bodyDiv w:val="1"/>
      <w:marLeft w:val="0"/>
      <w:marRight w:val="0"/>
      <w:marTop w:val="0"/>
      <w:marBottom w:val="0"/>
      <w:divBdr>
        <w:top w:val="none" w:sz="0" w:space="0" w:color="auto"/>
        <w:left w:val="none" w:sz="0" w:space="0" w:color="auto"/>
        <w:bottom w:val="none" w:sz="0" w:space="0" w:color="auto"/>
        <w:right w:val="none" w:sz="0" w:space="0" w:color="auto"/>
      </w:divBdr>
    </w:div>
    <w:div w:id="193470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l@uni-lj.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lj.si/aktualno/koledar_dogodkov/dogodki/2018101808385159/Vklju&#269;evanje%20javnosti%20v%20znanstveno%20delo%20ter%20pisanje%20o%20znanstvenih%20dose&#382;kih%20za%20splo&#353;no%20javno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1A18F75D358FD4B9A384F747678D958" ma:contentTypeVersion="0" ma:contentTypeDescription="Ustvari nov dokument." ma:contentTypeScope="" ma:versionID="15015d9054231d7b491ca0e3280e2f2b">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461F-0AE9-4B83-BF01-CEE837BD04CD}">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C93A67DB-1523-4263-970A-C0A089751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15FA7D-941F-4788-9D45-A8B04B85B3D0}">
  <ds:schemaRefs>
    <ds:schemaRef ds:uri="http://schemas.microsoft.com/sharepoint/v3/contenttype/forms"/>
  </ds:schemaRefs>
</ds:datastoreItem>
</file>

<file path=customXml/itemProps4.xml><?xml version="1.0" encoding="utf-8"?>
<ds:datastoreItem xmlns:ds="http://schemas.openxmlformats.org/officeDocument/2006/customXml" ds:itemID="{2348B28A-A716-454B-BA4B-C98BD8015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676</Words>
  <Characters>3858</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Žibert Kamšek, Katja</cp:lastModifiedBy>
  <cp:revision>9</cp:revision>
  <cp:lastPrinted>2012-01-24T15:04:00Z</cp:lastPrinted>
  <dcterms:created xsi:type="dcterms:W3CDTF">2018-04-24T07:18:00Z</dcterms:created>
  <dcterms:modified xsi:type="dcterms:W3CDTF">2018-10-18T07:18:00Z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0x010100B1A18F75D358FD4B9A384F747678D958</vt:lpwstr>
  </property>
</Properties>
</file>